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Фтизиатрия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Фтизиатрия | Записей: 1 | Кейс: 2 | Вопросов: 12</w:t>
      </w:r>
    </w:p>
    <w:p>
      <w:r>
        <w:br w:type="page"/>
      </w:r>
    </w:p>
    <w:p>
      <w:pPr>
        <w:pStyle w:val="Heading1"/>
      </w:pPr>
      <w:r>
        <w:t>Фтизиатрия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Фтизиатрия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М., 37 лет, госпитализирован в торакальное отделение областной больницы.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одномоментное выделение(около 200 мл) крови с кашлем, общую слабость, потливость, снижение аппетита, субфебрильную температуру тела по вечерам, одышку при незначительной физической нагрузке, боли в правой половине грудной клетки в надлопаточной области при глубоком дыхании и кашле.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Болен туберкулезом легких в течение 7 лет.</w:t>
      </w:r>
    </w:p>
    <w:p>
      <w:pPr>
        <w:spacing w:after="58"/>
      </w:pPr>
      <w:r>
        <w:rPr>
          <w:b w:val="0"/>
          <w:i w:val="0"/>
        </w:rPr>
        <w:t>Заболел во время нахождения в местах лишения свободы.</w:t>
      </w:r>
    </w:p>
    <w:p>
      <w:pPr>
        <w:spacing w:after="58"/>
      </w:pPr>
      <w:r>
        <w:rPr>
          <w:b w:val="0"/>
          <w:i w:val="0"/>
        </w:rPr>
        <w:t>После освобождения лечился нерегулярно, отказывался от приема противотуберкулезных препаратов.</w:t>
      </w:r>
    </w:p>
    <w:p>
      <w:pPr>
        <w:spacing w:after="58"/>
      </w:pPr>
      <w:r>
        <w:rPr>
          <w:b w:val="0"/>
          <w:i w:val="0"/>
        </w:rPr>
        <w:t>Три года не лечился и не наблюдался, постоянно переезжал, менял города.</w:t>
      </w:r>
    </w:p>
    <w:p>
      <w:pPr>
        <w:spacing w:after="58"/>
      </w:pPr>
      <w:r>
        <w:rPr>
          <w:b w:val="0"/>
          <w:i w:val="0"/>
        </w:rPr>
        <w:t>Ухудшение самочувствия отмечает в течение последнего года: усилилась одышка, значительно похудел (на 25 кг), рецидивирующее кровохарканье, фебрильная лихорадка во второй половине дня.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в соответствии с возрастом.</w:t>
      </w:r>
    </w:p>
    <w:p>
      <w:pPr>
        <w:spacing w:after="58"/>
      </w:pPr>
      <w:r>
        <w:rPr>
          <w:b w:val="0"/>
          <w:i w:val="0"/>
        </w:rPr>
        <w:t>Профессия: каменщик.</w:t>
      </w:r>
    </w:p>
    <w:p>
      <w:pPr>
        <w:spacing w:after="58"/>
      </w:pPr>
      <w:r>
        <w:rPr>
          <w:b w:val="0"/>
          <w:i w:val="0"/>
        </w:rPr>
        <w:t>Стаж: 4 года.</w:t>
      </w:r>
    </w:p>
    <w:p>
      <w:pPr>
        <w:spacing w:after="58"/>
      </w:pPr>
      <w:r>
        <w:rPr>
          <w:b w:val="0"/>
          <w:i w:val="0"/>
        </w:rPr>
        <w:t>Образование: среднее.</w:t>
      </w:r>
    </w:p>
    <w:p>
      <w:pPr>
        <w:spacing w:after="58"/>
      </w:pPr>
      <w:r>
        <w:rPr>
          <w:b w:val="0"/>
          <w:i w:val="0"/>
        </w:rPr>
        <w:t>Перенесенные заболевания и операции: хронические заболевания, операции отрицает.</w:t>
      </w:r>
    </w:p>
    <w:p>
      <w:pPr>
        <w:spacing w:after="58"/>
      </w:pPr>
      <w:r>
        <w:rPr>
          <w:b w:val="0"/>
          <w:i w:val="0"/>
        </w:rPr>
        <w:t>Туберкулезный контакт не установлен.</w:t>
      </w:r>
    </w:p>
    <w:p>
      <w:pPr>
        <w:spacing w:after="58"/>
      </w:pPr>
      <w:r>
        <w:rPr>
          <w:b w:val="0"/>
          <w:i w:val="0"/>
        </w:rPr>
        <w:t>Вредные привычки – курит (индекс курения 23 пачко/лет), алкоголь употребляет умеренно.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тяжелое. Рост 180 см, вес 52 кг. Температура 38,5оС Кожные покровы чистые, бледные. Периферические лимфатические узлы не увеличены. Дыхание с участием вспомогательной мускулатуры, ритмичное, поверхностное. ЧД 28 в 1 минуту. Грудная клетка эмфизематозная. При пальпации эластичная. Западение надключичной ямки справа. Правая половина отстает в акте дыхания. Притупление перкуторного тона справа в надключичной и надлопаточной областях, слева с коробочным оттенком, больше в нижних отделах, также и справа в нижних отделах. Дыхание справа в верхних отделах с амфорическим оттенком, шум писка, в нижних отделах ослаблено, на фоне которого выслушиваются влажные мелкопузырчатые хрипы. Слева дыхание жесткое, по всем легочным полям разнокалиберные влажные хрипы. Тоны сердца ритмичные, приглушены. Пульс 102 в 1 мин. АД 90/60 мм рт.ст. Живот мягкий безболезненный. Печень не увеличена. Пастозность голеней и стоп.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Обязательными лабораторными методами обследования при подозрении на туберкулез в условиях общей лечебной сети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общий анализ мокроты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микробиологическое исследование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микробиологическое исследование мокроты</w:t>
      </w:r>
    </w:p>
    <w:p>
      <w:pPr>
        <w:ind w:left="504"/>
      </w:pPr>
      <w:r>
        <w:rPr>
          <w:b w:val="0"/>
          <w:i/>
        </w:rPr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(_Mycobacterium spp._) или другого диагностического материала на микобактерии – не менее двух проб.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Раздел. 2.3. Лабораторные диагностические исследования</w:t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Приоритетным компонентом комплекса исследования у пациентов с туберкулезом рекомендуется определение мутаций, ассоциированных с лекарственной устойчивостью в ДНК микобактерий туберкулеза (_Mycobacterium tuberculosis complex_) методом ПЦР в режиме реального времени или методом ПЦР с дальнейшей гибридизацией к препаратам первого ряда – изониазиду и рифампицину или, как минимум, к рифампицину.</w:t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Обязательным инструментальным методом обследования при подозрении на туберкулез в условиях общей лечебной сети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функция внешнего дыхания с бронхолитической пробой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обзорная рентгенография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фибробронхоскопия с проведением бронхоальвеолярного лаважа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обзорная рентгенография органов грудной клетки</w:t>
      </w:r>
    </w:p>
    <w:p>
      <w:pPr>
        <w:ind w:left="504"/>
      </w:pPr>
      <w:r>
        <w:rPr>
          <w:b w:val="0"/>
          <w:i/>
        </w:rPr>
        <w:t>Рекомендуется пациенту с подозрением на туберкулез органов дыхания выполнить рентгенографию грудной клетки в двух проекциях для определения клинической формы, активности и распространенности процесса.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2.4 Инструментальные диагностические исследования</w:t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пациентам с предполагаемым диагнозом туберкулеза легких в комплекс лабораторных исследований для выявления МБТ включать микроскопическое исследование мокроты на микобактерии (_Mycobacterium spp._) или другого диагностического материала на микобактерии – не менее двух проб.</w:t>
        <w:br/>
        <w:br/>
      </w:r>
      <w:hyperlink r:id="rId1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данные клинико-лабораторных и инструментальных методов обследования,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Пневмониеподобная форма периферического рака легкого. Легочное кровотечение. Постгеморрагическая гипохромная анемия средней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Внебольничная полисегментарная деструктивная пневмония. Легочное кровотечение. Постгеморрагическая гипохромная анемия средней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Диссеминированный туберкулез легких в фазе инфильтрации, распада, МБТ (+). Туберкулез правого верхнедолевого бронха. Легочное кровотечение. Постгеморрагическая гипохромная анемия средней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Фиброзно-кавернозный туберкулез правого легкого в фазе инфильтрации, обсеменения МБТ (+). Туберкулез правого верхнедолевого бронха. Легочное кровотечение. Постгеморрагическая гипохромная анемия средней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Фиброзно-кавернозный туберкулез правого легкого в фазе инфильтрации, обсеменения МБТ (+). Туберкулез правого верхнедолевого бронха. Легочное кровотечение. Постгеморрагическая гипохромная анемия средней степени</w:t>
      </w:r>
    </w:p>
    <w:p>
      <w:pPr>
        <w:ind w:left="504"/>
      </w:pPr>
      <w:r>
        <w:rPr>
          <w:b w:val="0"/>
          <w:i/>
        </w:rPr>
        <w:t>Диагноз поставлен на основании:</w:t>
        <w:br/>
        <w:br/>
        <w:t>* данных анамнеза (туберкулез легких в течение 7 лет), жалоб (легочное кровотечение, общая слабость, потливость, снижение аппетита, субфебрильная температура тела по вечерам, одышка при незначительной физической нагрузке, боли в правой половине грудной клетки в надлопаточной области при глубоком дыхании и кашле), заболел во время нахождения в местах лишения свободы.</w:t>
        <w:br/>
        <w:t>* Данных объективного осмотра, рентгенологического - справа легочное поле уменьшено в объеме за счет наличия CV-magna в верхней доле, нижняя доля понижена в прозрачности за счет инфильтрации легочной ткани, костно-диафрагмальный синус запаян. Левое легкое компенсаторно расширено, в S I-II субплеврально определяются единичные очаговые тени и фокусы гомогенного характера выше средней интенсивности.</w:t>
        <w:br/>
        <w:t>* Микробиологическое исследование мокроты - микроскопия мокроты с окраской по Цилю-Нильсену - КУМ обнаружены 3 (+);</w:t>
        <w:br/>
        <w:t>* Фибробронхоскопия с проведением бронхоальвеолярного лаважа: бронхи проходимы. На слизистой оболочке правого верхнедолевого бронха инфильтрация размеров 5х5,5 мм.</w:t>
        <w:br/>
        <w:br/>
        <w:t>Фиброзно-кавернозный туберкулез легких (характеризуется наличием фиброзной каверны, развитием фиброзных изменений и других морфологических изменений в легких (пневмосклероз, эмфизема, бронхоэктазы) и наличием очагов бронхогенного отсева различной давности; течение часто сопровождается осложнениями).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1.5. Классификация заболевания или состояния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 переведен в областной противотуберкулезный стационар. Для постановки окончательного диагноза и выбора режима химиотерапии пациенту необходимо выполнить микробиологические исследования, включающие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микроскопическое исследование мокроты методом Циля-Нильсена или люминесцентную микроскопию/LED микроскопию, посев мокроты на среду Финн-2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микроскопическое исследование промывных вод бронхов методом Циля-Нильсена или люминесцентную микроскопию/LED микроскопию, общий анализ мокроты, посев на плотные питательные среды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мокроты, микроскопию мокроты с окраской по Граму, посев на жидкие питательные среды, анализ мокроты молекулярно-генетическим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микроскопическое исследование мокроты методом Циля-Нильсена или люминесцентную микроскопию, анализ мокроты молекулярно-генетическим методом (ПЦР), посев мокроты на жидкие и/или плотные питательные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микроскопическое исследование мокроты методом Циля-Нильсена или люминесцентную микроскопию, анализ мокроты молекулярно-генетическим методом (ПЦР), посев мокроты на жидкие и/или плотные питательные</w:t>
      </w:r>
    </w:p>
    <w:p>
      <w:pPr>
        <w:ind w:left="504"/>
      </w:pPr>
      <w:r>
        <w:rPr>
          <w:b w:val="0"/>
          <w:i/>
        </w:rPr>
        <w:t>Рекомендуется проведение как минимум двукратного микробиологического (культурального) исследования мокроты или иного диагностического материала на микобактерии туберкулеза (_Mycobacterium tuberculosis complex_) в течение 2-3 последовательных дней или с применением комплекса микробиологических (культуральных) исследований на жидких и/или плотных питательных средах на микобактерий туберкулеза (_Mycobacterium tuberculosis complex_), а также молекулярно-билогических исследований мокроты или иного диагностического материала пациентам с подозрением на туберкулез для этиологической диагностики туберкулеза.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2.3 Лабораторные диагностические исследования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посеве на жидкие питательные среды (BACTEC) обнаружен обильный рост МБТ, выявлена устойчивость крифампицину и изониазиду. Необходимо начать лечение по +______________+ режиму химиотерапии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изониазид-резистентному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МЛУ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пре-ШЛУ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МЛУ</w:t>
      </w:r>
    </w:p>
    <w:p>
      <w:pPr>
        <w:ind w:left="504"/>
      </w:pPr>
      <w:r>
        <w:rPr>
          <w:b w:val="0"/>
          <w:i/>
        </w:rPr>
        <w:t>Рекомендуется назначение режима химиотерапии МЛУ ТБ для лечения туберкулеза с установленной ЛУ возбудителя к рифампицину и изониазиду (или только рифампицину) и чувствительностью ко всем препаратам группы фторхинолонов, а также пациентам с риском МЛУ возбудителя.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 1. Химиотерапия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После приема 50 доз противотуберкулезных препаратов при посеве на плотные питательные среды получена устойчивость к изониазиду, рифампицину, амикацину, офлоксацину, этамбутолу, этионамиду. Режим химиотерапии должен быть изменен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ШЛУ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лекарственно-чувствительный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пре-ШЛУ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изониазид-резистентный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пре-ШЛУ</w:t>
      </w:r>
    </w:p>
    <w:p>
      <w:pPr>
        <w:ind w:left="504"/>
      </w:pPr>
      <w:r>
        <w:rPr>
          <w:b w:val="0"/>
          <w:i/>
        </w:rPr>
        <w:t>При устойчивости возбудителя к рифампицину и изониазиду (или только рифампицину) с лекарственной устойчивостью к фторхинолонам (режим пре-ШЛУ ТБ).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 1. Химиотерапия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связи с исключением из схемы химиотерапии протионамида/этионамида, к лечению целесообразно добавить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меропенем, амоксициллина/клавуланат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бедаквилин, линезолид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ПАСК, амоксициллина/клавуланат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ПАСК, рифампентин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бедаквилин, линезолид</w:t>
      </w:r>
    </w:p>
    <w:p>
      <w:pPr>
        <w:ind w:left="504"/>
      </w:pPr>
      <w:r>
        <w:rPr>
          <w:b w:val="0"/>
          <w:i/>
        </w:rPr>
        <w:t>Рекомендуется в интенсивной фазе режима пре-ШЛУ туберкулеза назначение комбинации, одновременно включающей не менее пяти противотуберкулезных лекарственных препаратов и антибиотиков с предполагаемой или сохраненной лекарственной чувствительностью возбудителя для подавления микробной популяции.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 1. 4. Режим химиотерапии пре-ШЛУ туберкулеза</w:t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назначение бедаквилина в составе режима пре-ШЛУ туберкулеза для повышения эффективности лечения</w:t>
        <w:br/>
        <w:br/>
      </w:r>
      <w:hyperlink r:id="rId19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Рекомендуется назначение линезолида в составе режима пре-ШЛУ туберкулеза для повышения эффективности лечения</w:t>
        <w:br/>
        <w:br/>
      </w:r>
      <w:hyperlink r:id="rId20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Обязательным компонентом в ежемесячном контрольном обследовании при назначении бедаквилина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осмотр офтальмолога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осмотр оториноларинголога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электрокардиографическое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креатинина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электрокардиографическое исследование</w:t>
      </w:r>
    </w:p>
    <w:p>
      <w:pPr>
        <w:ind w:left="504"/>
      </w:pPr>
      <w:r>
        <w:rPr>
          <w:b w:val="0"/>
          <w:i/>
        </w:rPr>
        <w:t>Регистрация электрокардиограммы (ЭКГ) (с расчетом интервала QT) ежемесячно.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Приложение А3.5. Млниторинг и предупреждение неблагоприятных побочных реакций в процессе химиотерапии.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После 1 месяца приема препаратов по пре-ШЛУ (Bq, Lzd, Lfx, Cs, Z, Cm) в среднетерапевтических дозировках у пациента появились жалобы на снижение слуха. Предположительно данная неблагоприятная побочная реакция связана с приемом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бедаквилина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парааминосалициловой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циклосерина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капреомицина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капреомицина</w:t>
      </w:r>
    </w:p>
    <w:p>
      <w:pPr>
        <w:ind w:left="504"/>
      </w:pPr>
      <w:r>
        <w:rPr>
          <w:b w:val="0"/>
          <w:i/>
        </w:rPr>
        <w:t>Побочные эффекты при лечении капреомицином связаны с его токсическим воздействием на почки, слуховой аппарат.</w:t>
        <w:br/>
        <w:br/>
        <w:t>Фтизиатрия : учебник / Перельман М. И. , Богадельникова И. В. - 4-е изд. , перераб. и доп. - Москва : ГЭОТАР-Медиа, 2013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Ограничениями к применению являются: поражение VIII пары черепно-мозговых нервов (может вызывать слуховые и вестибулярные расстройства.</w:t>
        <w:br/>
        <w:br/>
        <w:t>Рациональная фармакотерапия. Справочник терапевта : руководство для практикующих врачей / под ред. А. И. Мартынова, В. Н. Лариной. - 2-изд. - Москва : Литтерра, 2022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 осмотрен оториноларингологом, проведена аудиограмма. Заключение: Токсическая нейросенсорная двухсторонняя тугоухость 1 степени. Дальнейшей тактикой лечения будет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проведение аудиограммы, отмена препарата, уменьшение дозы препарата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речевой аудиометрии кохлеарная имплантация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дуплексное сканирование брахиоцефальных артерий, исследование слуха шепотной и разговорной речью, наблюдение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акустическая рефлексометрия, проведение слухопротезирования, наблюдение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аудиограммы, отмена препарата, уменьшение дозы препарата</w:t>
      </w:r>
    </w:p>
    <w:p>
      <w:pPr>
        <w:ind w:left="504"/>
      </w:pPr>
      <w:r>
        <w:rPr>
          <w:b w:val="0"/>
          <w:i/>
        </w:rPr>
        <w:t>Рекомендуется (осмотр, консультация) врача-сурдолога оториноларинголога первичный всем пациентам перед назначением/коррекцией терапии с целью проведения аудиограммы выявления/исключения нейросенсорной тугоухости и степени снижения слуха.</w:t>
        <w:br/>
        <w:br/>
      </w:r>
      <w:hyperlink r:id="rId24">
        <w:r>
          <w:rPr>
            <w:color w:val="0F766E"/>
            <w:u w:val="single"/>
          </w:rPr>
          <w:t>Клинические рекомендации Минздрава России. Криопирин-ассоциированные периодические синдромы(Другие уточненные нарушения с вовлечением иммунного механизма, не классифицированные в других рубриках). 2023г.</w:t>
        </w:r>
      </w:hyperlink>
      <w:r>
        <w:rPr>
          <w:b w:val="0"/>
          <w:i/>
        </w:rPr>
        <w:br/>
        <w:br/>
        <w:t>Раздел 2.3.3. Иные диагностические исследования</w:t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Появление побочных токсических реакций при лечении стрептомицином или другими аминогликозидами требуют немедленной отмены препаратов.</w:t>
        <w:br/>
        <w:br/>
        <w:t>Фтизиатрия : учебник / Перельман М. И. , Богадельникова И. В. - 4-е изд. , перераб. и доп. - Москва : ГЭОТАР-Медиа, 2013.</w:t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Осмотр врачом-оториноларингологом и аудиограмма перед назначением канамицина, амикацина, капреомицина.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Приложение А3.5.. Мониторинг и предупреждение неблагоприятных побочных реакций в процессе химиотерапии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Через 4 месяца от начала лечения, в связи с незначительной динамикой (в мокроте микроскопически КУМ 1+, посевом -2+, рентгенологически – без существенной динамики, ФВД в динамике – ДН1 ст), пациент осмотрен торакальным хирургом на предмет постановки бронхоблокатора, дано заключение, что постановка бронхоблокатора возможна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положительной рентгенологической динамике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 подтверждении излечения туберкулеза правого верхнедолевого бронха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без дополнительных исследований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стойком абациллировании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подтверждении излечения туберкулеза правого верхнедолевого бронха</w:t>
      </w:r>
    </w:p>
    <w:p>
      <w:pPr>
        <w:ind w:left="504"/>
      </w:pPr>
      <w:r>
        <w:rPr>
          <w:b w:val="0"/>
          <w:i/>
        </w:rPr>
        <w:t>Общие противопоказания: активный туберкулез бронха на стороне поражения; активное воспаление бронхов любой природы; стеноз бронха 2-3 степени; эмфизема легких; дыхательная недостаточность II-III степени.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Туберкулез у взрослых, 2024 г.</w:t>
        </w:r>
      </w:hyperlink>
      <w:r>
        <w:rPr>
          <w:b w:val="0"/>
          <w:i/>
        </w:rPr>
        <w:br/>
        <w:br/>
        <w:t>Раздел 3.3.1.Коллапсотерапия</w:t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назначение клапанной бронхоблокации для лечения деструктивных изменений у пациентов с туберкулезом легких (в первую очередь, инфильтративном и фиброзно-кавернозном туберкулезе легких) при: длительно не закрывающейся деструкции при адекватной химиотерапии.</w:t>
        <w:br/>
        <w:br/>
      </w:r>
      <w:hyperlink r:id="rId29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Пациенту в условиях стационара с гемостатической целью предпочтительно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гепарин подкожно, аминокапроновую кислоту перорально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викасол внутримышечно, аминокапроновую кислоту внутривенно струйно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внутривенное введение транексамовой кислоты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кодеин перорально, викасол внутивенно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внутривенное введение транексамовой кислоты</w:t>
      </w:r>
    </w:p>
    <w:p>
      <w:pPr>
        <w:ind w:left="504"/>
      </w:pPr>
      <w:r>
        <w:rPr>
          <w:b w:val="0"/>
          <w:i/>
        </w:rPr>
        <w:t>Гемостатическая терапия включает введение внутривенно 1 г транексамовой кислоты при подозрении или диагностике массивной кровопотери и геморрагического шока.</w:t>
        <w:br/>
        <w:br/>
        <w:t>Лекарственное обеспечение клинических протоколов. Акушерство и гинекология / под ред. В. Е. Радзинского. - 4-е изд., перераб. и доп. - Москва : ГЭОТАР-Медиа, 2023. - 264 с. - ISBN 978-5-9704-7529-4, DOI: 10.33029/9704-7529-4-LEK-2023-1-264. 8.3. Интенсивная терапия</w:t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Внутривенное введение раствора транексамовой кислоты позволяет значительно уменьшить продолжительность и объем кровопотери при ЛК независимо от причины последнего.</w:t>
        <w:br/>
        <w:br/>
        <w:t>Скорая медицинская помощь: национальное руководство / под ред. С. Ф. Багненко, С. С. Петрикова, И. П. Миннуллина, А. Г. Мирошниченко. — 2-е изд., перераб. и доп. — Москва : ГЭОТАР-Медиа, 2025 г.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16_3/" TargetMode="External"/><Relationship Id="rId10" Type="http://schemas.openxmlformats.org/officeDocument/2006/relationships/hyperlink" Target="https://library.mededtech.ru/rest/documents/KP16_3/index.html#list_item_6n1vud" TargetMode="External"/><Relationship Id="rId11" Type="http://schemas.openxmlformats.org/officeDocument/2006/relationships/hyperlink" Target="https://library.mededtech.ru/rest/documents/KP16_3/index.html#list_item_9795qu" TargetMode="External"/><Relationship Id="rId12" Type="http://schemas.openxmlformats.org/officeDocument/2006/relationships/hyperlink" Target="https://library.mededtech.ru/rest/documents/KP16_3/index.html#list_item_dujhma" TargetMode="External"/><Relationship Id="rId13" Type="http://schemas.openxmlformats.org/officeDocument/2006/relationships/hyperlink" Target="https://library.mededtech.ru/rest/documents/KP16_3/index.html#list_item_anu7ob" TargetMode="External"/><Relationship Id="rId14" Type="http://schemas.openxmlformats.org/officeDocument/2006/relationships/hyperlink" Target="https://library.mededtech.ru/rest/documents/KP16_3/index.html#list_item_tgn5r5" TargetMode="External"/><Relationship Id="rId15" Type="http://schemas.openxmlformats.org/officeDocument/2006/relationships/hyperlink" Target="https://library.mededtech.ru/rest/documents/KP16_3/index.html#list_item_3bnf3g" TargetMode="External"/><Relationship Id="rId16" Type="http://schemas.openxmlformats.org/officeDocument/2006/relationships/hyperlink" Target="https://library.mededtech.ru/rest/documents/KP16_3/index.html#list_item_li42i8" TargetMode="External"/><Relationship Id="rId17" Type="http://schemas.openxmlformats.org/officeDocument/2006/relationships/hyperlink" Target="https://library.mededtech.ru/rest/documents/KP16_3/index.html#list_item_eof7pb" TargetMode="External"/><Relationship Id="rId18" Type="http://schemas.openxmlformats.org/officeDocument/2006/relationships/hyperlink" Target="https://library.mededtech.ru/rest/documents/KP16_3/index.html#list_item_0i36k7" TargetMode="External"/><Relationship Id="rId19" Type="http://schemas.openxmlformats.org/officeDocument/2006/relationships/hyperlink" Target="https://library.mededtech.ru/rest/documents/KP16_3/index.html#list_item_svrbtt" TargetMode="External"/><Relationship Id="rId20" Type="http://schemas.openxmlformats.org/officeDocument/2006/relationships/hyperlink" Target="https://library.mededtech.ru/rest/documents/KP16_3/index.html#list_item_vfuq37" TargetMode="External"/><Relationship Id="rId21" Type="http://schemas.openxmlformats.org/officeDocument/2006/relationships/hyperlink" Target="https://library.mededtech.ru/rest/documents/KP16_3/index.html#list_item_fpbt5o" TargetMode="External"/><Relationship Id="rId22" Type="http://schemas.openxmlformats.org/officeDocument/2006/relationships/hyperlink" Target="https://library.mededtech.ru/rest/documents/ISBN9785970424933/?anchor=paragraph_u4l4oh#paragraph_u4l4oh" TargetMode="External"/><Relationship Id="rId23" Type="http://schemas.openxmlformats.org/officeDocument/2006/relationships/hyperlink" Target="https://library.mededtech.ru/rest/documents/ISBN9785423503796/?anchor=paragraph_jt0025#paragraph_jt0025" TargetMode="External"/><Relationship Id="rId24" Type="http://schemas.openxmlformats.org/officeDocument/2006/relationships/hyperlink" Target="https://library.mededtech.ru/rest/documents/KP758/" TargetMode="External"/><Relationship Id="rId25" Type="http://schemas.openxmlformats.org/officeDocument/2006/relationships/hyperlink" Target="https://library.mededtech.ru/rest/documents/KP758/index.html#list_item_1a5b9h" TargetMode="External"/><Relationship Id="rId26" Type="http://schemas.openxmlformats.org/officeDocument/2006/relationships/hyperlink" Target="https://library.mededtech.ru/rest/documents/ISBN9785970424933/?anchor=paragraph_73e0ib#paragraph_73e0ib" TargetMode="External"/><Relationship Id="rId27" Type="http://schemas.openxmlformats.org/officeDocument/2006/relationships/hyperlink" Target="https://library.mededtech.ru/rest/documents/KP16_3/index.html#list_item_m92c05" TargetMode="External"/><Relationship Id="rId28" Type="http://schemas.openxmlformats.org/officeDocument/2006/relationships/hyperlink" Target="https://library.mededtech.ru/rest/documents/KP16_3/index.html#list_item_mvoomh" TargetMode="External"/><Relationship Id="rId29" Type="http://schemas.openxmlformats.org/officeDocument/2006/relationships/hyperlink" Target="https://library.mededtech.ru/rest/documents/KP16_3/index.html#list_item_5uatq3" TargetMode="External"/><Relationship Id="rId30" Type="http://schemas.openxmlformats.org/officeDocument/2006/relationships/hyperlink" Target="https://library.mededtech.ru/rest/documents/ISBN9785970475294/?anchor=paragraph_1madik#paragraph_1madik" TargetMode="External"/><Relationship Id="rId31" Type="http://schemas.openxmlformats.org/officeDocument/2006/relationships/hyperlink" Target="https://library.mededtech.ru/rest/documents/library2522/?anchor=paragraph_06955h#paragraph_0695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